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E4" w:rsidRPr="005056B3" w:rsidRDefault="005056B3">
      <w:pPr>
        <w:spacing w:after="0" w:line="259" w:lineRule="auto"/>
        <w:ind w:left="20" w:right="1"/>
        <w:jc w:val="center"/>
        <w:rPr>
          <w:sz w:val="40"/>
          <w:szCs w:val="40"/>
        </w:rPr>
      </w:pPr>
      <w:bookmarkStart w:id="0" w:name="_GoBack"/>
      <w:r w:rsidRPr="005056B3">
        <w:rPr>
          <w:b/>
          <w:sz w:val="40"/>
          <w:szCs w:val="40"/>
        </w:rPr>
        <w:t xml:space="preserve">МБОУ «СОШ им. </w:t>
      </w:r>
      <w:proofErr w:type="spellStart"/>
      <w:r w:rsidRPr="005056B3">
        <w:rPr>
          <w:b/>
          <w:sz w:val="40"/>
          <w:szCs w:val="40"/>
        </w:rPr>
        <w:t>В.Г.Гайтемирова</w:t>
      </w:r>
      <w:proofErr w:type="spellEnd"/>
      <w:r w:rsidR="00920228" w:rsidRPr="005056B3">
        <w:rPr>
          <w:b/>
          <w:sz w:val="40"/>
          <w:szCs w:val="40"/>
        </w:rPr>
        <w:t xml:space="preserve"> </w:t>
      </w:r>
    </w:p>
    <w:bookmarkEnd w:id="0"/>
    <w:p w:rsidR="00B114E4" w:rsidRPr="005056B3" w:rsidRDefault="005056B3">
      <w:pPr>
        <w:spacing w:after="0" w:line="259" w:lineRule="auto"/>
        <w:ind w:left="20"/>
        <w:jc w:val="center"/>
        <w:rPr>
          <w:sz w:val="40"/>
          <w:szCs w:val="40"/>
        </w:rPr>
      </w:pPr>
      <w:proofErr w:type="spellStart"/>
      <w:r w:rsidRPr="005056B3">
        <w:rPr>
          <w:b/>
          <w:sz w:val="40"/>
          <w:szCs w:val="40"/>
        </w:rPr>
        <w:t>с.Замай</w:t>
      </w:r>
      <w:proofErr w:type="spellEnd"/>
      <w:r w:rsidRPr="005056B3">
        <w:rPr>
          <w:b/>
          <w:sz w:val="40"/>
          <w:szCs w:val="40"/>
        </w:rPr>
        <w:t>-Юрт</w:t>
      </w:r>
      <w:r w:rsidR="00920228" w:rsidRPr="005056B3">
        <w:rPr>
          <w:b/>
          <w:sz w:val="40"/>
          <w:szCs w:val="40"/>
        </w:rPr>
        <w:t xml:space="preserve">» </w:t>
      </w:r>
    </w:p>
    <w:p w:rsidR="00B114E4" w:rsidRPr="005056B3" w:rsidRDefault="00920228">
      <w:pPr>
        <w:spacing w:after="54" w:line="236" w:lineRule="auto"/>
        <w:ind w:left="0" w:firstLine="0"/>
        <w:jc w:val="center"/>
        <w:rPr>
          <w:sz w:val="40"/>
          <w:szCs w:val="40"/>
        </w:rPr>
      </w:pPr>
      <w:r w:rsidRPr="005056B3">
        <w:rPr>
          <w:b/>
          <w:sz w:val="40"/>
          <w:szCs w:val="40"/>
        </w:rPr>
        <w:t>Пакет документов по введению ФООП в школах</w:t>
      </w:r>
      <w:r w:rsidRPr="005056B3">
        <w:rPr>
          <w:b/>
          <w:sz w:val="40"/>
          <w:szCs w:val="40"/>
        </w:rPr>
        <w:t xml:space="preserve"> </w:t>
      </w:r>
    </w:p>
    <w:p w:rsidR="00B114E4" w:rsidRDefault="00920228">
      <w:pPr>
        <w:spacing w:after="125" w:line="259" w:lineRule="auto"/>
        <w:ind w:left="480" w:firstLine="0"/>
      </w:pPr>
      <w:r>
        <w:t xml:space="preserve"> </w:t>
      </w:r>
    </w:p>
    <w:p w:rsidR="00B114E4" w:rsidRDefault="00920228">
      <w:pPr>
        <w:spacing w:after="225" w:line="238" w:lineRule="auto"/>
        <w:ind w:left="0" w:firstLine="0"/>
      </w:pPr>
      <w:proofErr w:type="spellStart"/>
      <w:r>
        <w:rPr>
          <w:b/>
        </w:rPr>
        <w:t>Минпросвещения</w:t>
      </w:r>
      <w:proofErr w:type="spellEnd"/>
      <w:r>
        <w:rPr>
          <w:b/>
        </w:rPr>
        <w:t xml:space="preserve"> направило в школы пакет документов по внедрению федеральных основных общеобразовательных программ (письмо от 03.03.2023 № 03-</w:t>
      </w:r>
      <w:r>
        <w:rPr>
          <w:b/>
        </w:rPr>
        <w:t xml:space="preserve">327). Читайте, какие документы нужно взять в работу уже сейчас.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 xml:space="preserve">Чтобы привести ООП НОО, ООО и СОО в соответствие с ФООП, опирайтесь на новые методические рекомендации </w:t>
      </w:r>
      <w:proofErr w:type="spellStart"/>
      <w:r>
        <w:t>Минпросвещения</w:t>
      </w:r>
      <w:proofErr w:type="spellEnd"/>
      <w:r>
        <w:t xml:space="preserve">. Готовность школы к внедрению федеральных программ проверьте с помощью </w:t>
      </w:r>
      <w:r>
        <w:t>специальных критериев.</w:t>
      </w:r>
      <w:r>
        <w:t xml:space="preserve"> </w:t>
      </w:r>
    </w:p>
    <w:p w:rsidR="00B114E4" w:rsidRDefault="00920228">
      <w:pPr>
        <w:ind w:left="-5"/>
      </w:pPr>
      <w:r>
        <w:t xml:space="preserve">Кроме </w:t>
      </w:r>
      <w:proofErr w:type="spellStart"/>
      <w:r>
        <w:t>методрекомендаций</w:t>
      </w:r>
      <w:proofErr w:type="spellEnd"/>
      <w:r>
        <w:t xml:space="preserve"> и критериев готовности школы к внедрению ФООП, письмо </w:t>
      </w:r>
      <w:proofErr w:type="spellStart"/>
      <w:r>
        <w:t>Минпросвещения</w:t>
      </w:r>
      <w:proofErr w:type="spellEnd"/>
      <w:r>
        <w:t xml:space="preserve"> содержит:</w:t>
      </w:r>
      <w:r>
        <w:t xml:space="preserve"> </w:t>
      </w:r>
    </w:p>
    <w:p w:rsidR="00B114E4" w:rsidRDefault="00920228">
      <w:pPr>
        <w:spacing w:after="251" w:line="259" w:lineRule="auto"/>
        <w:ind w:left="0" w:firstLine="0"/>
      </w:pPr>
      <w:r>
        <w:t xml:space="preserve"> </w:t>
      </w:r>
    </w:p>
    <w:p w:rsidR="00B114E4" w:rsidRDefault="00920228">
      <w:pPr>
        <w:numPr>
          <w:ilvl w:val="0"/>
          <w:numId w:val="1"/>
        </w:numPr>
        <w:ind w:hanging="360"/>
      </w:pPr>
      <w:r>
        <w:t>план</w:t>
      </w:r>
      <w:r>
        <w:t>-</w:t>
      </w:r>
      <w:r>
        <w:t xml:space="preserve">график мероприятий </w:t>
      </w:r>
      <w:proofErr w:type="spellStart"/>
      <w:r>
        <w:t>Минпросвещения</w:t>
      </w:r>
      <w:proofErr w:type="spellEnd"/>
      <w:r>
        <w:t xml:space="preserve"> по введению ФООП;</w:t>
      </w:r>
      <w:r>
        <w:t xml:space="preserve"> </w:t>
      </w:r>
    </w:p>
    <w:p w:rsidR="00B114E4" w:rsidRDefault="00920228">
      <w:pPr>
        <w:numPr>
          <w:ilvl w:val="0"/>
          <w:numId w:val="1"/>
        </w:numPr>
        <w:ind w:hanging="360"/>
      </w:pPr>
      <w:r>
        <w:t>примерный план</w:t>
      </w:r>
      <w:r>
        <w:t>-</w:t>
      </w:r>
      <w:r>
        <w:t>график мероприятий введения ФООП субъекта РФ;</w:t>
      </w:r>
      <w:r>
        <w:t xml:space="preserve"> </w:t>
      </w:r>
    </w:p>
    <w:p w:rsidR="00B114E4" w:rsidRDefault="00920228">
      <w:pPr>
        <w:numPr>
          <w:ilvl w:val="0"/>
          <w:numId w:val="1"/>
        </w:numPr>
        <w:spacing w:after="264"/>
        <w:ind w:hanging="360"/>
      </w:pPr>
      <w:r>
        <w:t>критер</w:t>
      </w:r>
      <w:r>
        <w:t>ии готовности системы образования субъекта РФ к введению ФООП.</w:t>
      </w:r>
      <w:r>
        <w:t xml:space="preserve"> </w:t>
      </w:r>
    </w:p>
    <w:p w:rsidR="00B114E4" w:rsidRDefault="00920228">
      <w:pPr>
        <w:ind w:left="-5"/>
      </w:pPr>
      <w:r>
        <w:t>Методические рекомендации по введению ФООП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>Методические рекомендации содержат разъяснения для школ, как подготовиться к введению и реализации ФООП с 1 сентября 2023 года. Разъяснения касаются:</w:t>
      </w:r>
      <w:r>
        <w:t xml:space="preserve"> </w:t>
      </w:r>
    </w:p>
    <w:p w:rsidR="00B114E4" w:rsidRDefault="00920228">
      <w:pPr>
        <w:spacing w:after="254" w:line="259" w:lineRule="auto"/>
        <w:ind w:left="0" w:firstLine="0"/>
      </w:pPr>
      <w:r>
        <w:t xml:space="preserve"> </w:t>
      </w:r>
    </w:p>
    <w:p w:rsidR="00B114E4" w:rsidRDefault="00920228">
      <w:pPr>
        <w:numPr>
          <w:ilvl w:val="0"/>
          <w:numId w:val="1"/>
        </w:numPr>
        <w:ind w:hanging="360"/>
      </w:pPr>
      <w:r>
        <w:t>примерных ООП;</w:t>
      </w:r>
      <w:r>
        <w:t xml:space="preserve"> </w:t>
      </w:r>
    </w:p>
    <w:p w:rsidR="00B114E4" w:rsidRDefault="00920228">
      <w:pPr>
        <w:numPr>
          <w:ilvl w:val="0"/>
          <w:numId w:val="1"/>
        </w:numPr>
        <w:ind w:hanging="360"/>
      </w:pPr>
      <w:r>
        <w:t>структуры ФООП;</w:t>
      </w:r>
      <w:r>
        <w:t xml:space="preserve"> </w:t>
      </w:r>
    </w:p>
    <w:p w:rsidR="00B114E4" w:rsidRDefault="00920228">
      <w:pPr>
        <w:numPr>
          <w:ilvl w:val="0"/>
          <w:numId w:val="1"/>
        </w:numPr>
        <w:ind w:hanging="360"/>
      </w:pPr>
      <w:r>
        <w:t>федеральных рабочих программ учебных предметов;</w:t>
      </w:r>
      <w:r>
        <w:t xml:space="preserve"> </w:t>
      </w:r>
    </w:p>
    <w:p w:rsidR="00B114E4" w:rsidRDefault="00920228">
      <w:pPr>
        <w:numPr>
          <w:ilvl w:val="0"/>
          <w:numId w:val="1"/>
        </w:numPr>
        <w:ind w:hanging="360"/>
      </w:pPr>
      <w:r>
        <w:t>вариантов федеральных</w:t>
      </w:r>
      <w:r>
        <w:t xml:space="preserve"> учебных планов;</w:t>
      </w:r>
      <w:r>
        <w:t xml:space="preserve"> </w:t>
      </w:r>
    </w:p>
    <w:p w:rsidR="00B114E4" w:rsidRDefault="00920228">
      <w:pPr>
        <w:numPr>
          <w:ilvl w:val="0"/>
          <w:numId w:val="1"/>
        </w:numPr>
        <w:ind w:hanging="360"/>
      </w:pPr>
      <w:r>
        <w:t>федерального календарного учебного графика;</w:t>
      </w:r>
      <w:r>
        <w:t xml:space="preserve"> </w:t>
      </w:r>
    </w:p>
    <w:p w:rsidR="00B114E4" w:rsidRDefault="00920228">
      <w:pPr>
        <w:numPr>
          <w:ilvl w:val="0"/>
          <w:numId w:val="1"/>
        </w:numPr>
        <w:ind w:hanging="360"/>
      </w:pPr>
      <w:r>
        <w:t>изменений в ООП;</w:t>
      </w:r>
      <w:r>
        <w:t xml:space="preserve"> </w:t>
      </w:r>
    </w:p>
    <w:p w:rsidR="00B114E4" w:rsidRDefault="00920228">
      <w:pPr>
        <w:numPr>
          <w:ilvl w:val="0"/>
          <w:numId w:val="1"/>
        </w:numPr>
        <w:ind w:hanging="360"/>
      </w:pPr>
      <w:r>
        <w:t>обеспечения учебниками;</w:t>
      </w:r>
      <w:r>
        <w:t xml:space="preserve"> </w:t>
      </w:r>
    </w:p>
    <w:p w:rsidR="00B114E4" w:rsidRDefault="00920228">
      <w:pPr>
        <w:numPr>
          <w:ilvl w:val="0"/>
          <w:numId w:val="1"/>
        </w:numPr>
        <w:spacing w:after="268"/>
        <w:ind w:hanging="360"/>
      </w:pPr>
      <w:r>
        <w:lastRenderedPageBreak/>
        <w:t>форм методической поддержки внедрения ФООП на федеральном уровне.</w:t>
      </w:r>
      <w:r>
        <w:t xml:space="preserve"> </w:t>
      </w:r>
    </w:p>
    <w:p w:rsidR="00B114E4" w:rsidRDefault="00920228">
      <w:pPr>
        <w:ind w:left="-5"/>
      </w:pPr>
      <w:r>
        <w:t>Примерные ООП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proofErr w:type="spellStart"/>
      <w:r>
        <w:t>Минпросвещения</w:t>
      </w:r>
      <w:proofErr w:type="spellEnd"/>
      <w:r>
        <w:t xml:space="preserve"> </w:t>
      </w:r>
      <w:r>
        <w:t xml:space="preserve">напоминает, что ФООП едины для всех школ, а термин </w:t>
      </w:r>
      <w:r>
        <w:t>ПООП исключен из Закона об образовании и других актов в сфере образования. Школы разрабатывают свои ООП в соответствии с ФГОС и ФООП. Содержание и планируемые результаты школьных ООП должны быть не ниже, чем в ФООП. Школа может непосредственно применять ФО</w:t>
      </w:r>
      <w:r>
        <w:t>П полностью или ее отдельные части: федеральный учебный план, федеральный календарный учебный график, федеральные рабочие программы учебных предметов или курсов. В этом случае не нужно разрабатывать собственные документы.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>При этом школы обязаны использо</w:t>
      </w:r>
      <w:r>
        <w:t>вать федеральные рабочие программы по учебным предметам «Русский язык», «Литературное чтение» и «Окружающий мир» для уровня НОО, «Русский язык», «Литература», «История», «Обществознание», «География» и «Основы безопасности жизнедеятельности» для уровней ОО</w:t>
      </w:r>
      <w:r>
        <w:t>О и СОО. По остальным учебным предметам школы могут либо использовать федеральные рабочие программы в неизменном виде, либо разработать на их основе свои рабочие программы. Однако содержание и планируемые результаты собственных рабочих программ должны быть</w:t>
      </w:r>
      <w:r>
        <w:t xml:space="preserve"> не ниже соответствующих содержания и планируемых результатов ФООП.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>Структура ФООП</w:t>
      </w:r>
      <w:r>
        <w:t xml:space="preserve"> </w:t>
      </w:r>
    </w:p>
    <w:p w:rsidR="00B114E4" w:rsidRDefault="00920228">
      <w:pPr>
        <w:ind w:left="-5"/>
      </w:pPr>
      <w:r>
        <w:t xml:space="preserve">ФООП состоит из целевого, содержательного и организационного разделов, что соответствует требованиям ФГОС. Однако в ФООП нет раздела с требованиями к условиям реализации ФООП. Этот раздел школы должны написать самостоятельно, исходя из имеющихся условий и </w:t>
      </w:r>
      <w:r>
        <w:t xml:space="preserve">возможностей. При этом необходимо учитывать и требования СанПиН и СП. Электронная </w:t>
      </w:r>
      <w:proofErr w:type="spellStart"/>
      <w:r>
        <w:t>информационнообразовательная</w:t>
      </w:r>
      <w:proofErr w:type="spellEnd"/>
      <w:r>
        <w:t xml:space="preserve"> среда образовательной организации должна соответствовать требованиям федерального законодательства. При этом школы должны учитывать региональные </w:t>
      </w:r>
      <w:r>
        <w:t>и муниципальные нормы и требования, если они есть.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lastRenderedPageBreak/>
        <w:t>Федеральные рабочие программы учебных предметов</w:t>
      </w:r>
      <w:r>
        <w:t xml:space="preserve"> </w:t>
      </w:r>
    </w:p>
    <w:p w:rsidR="00B114E4" w:rsidRDefault="00920228">
      <w:pPr>
        <w:ind w:left="-5"/>
      </w:pPr>
      <w:r>
        <w:t>Содержательный раздел</w:t>
      </w:r>
      <w:r>
        <w:t xml:space="preserve"> </w:t>
      </w:r>
      <w:r>
        <w:t>ФОП НОО включает федеральные рабочие программы учебных предметов «Русский язык», «Литературное чтение», «Окружающий мир». А содержа</w:t>
      </w:r>
      <w:r>
        <w:t xml:space="preserve">тельные разделы ФОП ООО и </w:t>
      </w:r>
    </w:p>
    <w:p w:rsidR="00B114E4" w:rsidRDefault="00920228">
      <w:pPr>
        <w:ind w:left="-5"/>
      </w:pPr>
      <w:r>
        <w:t>ФОП СОО –</w:t>
      </w:r>
      <w:r>
        <w:t xml:space="preserve"> </w:t>
      </w:r>
      <w:r>
        <w:t xml:space="preserve">федеральные рабочие программы учебных предметов «Русский язык», «Литература», «Обществознание», «История», «География», «Основы безопасности жизнедеятельности». </w:t>
      </w:r>
    </w:p>
    <w:p w:rsidR="00B114E4" w:rsidRDefault="00920228">
      <w:pPr>
        <w:ind w:left="-5"/>
      </w:pPr>
      <w:r>
        <w:t>Федеральные рабочие программы по остальным учебным предметам планируется включить в ФООП к 1 сентября 2023 учебного года.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>ФОП ООО предусматривает возможность изучения учебных предметов «Математика», «Информатика», «Физика», «Химия», «Биология» на углубл</w:t>
      </w:r>
      <w:r>
        <w:t>енном уровне. Это можно сделать за счет добавления учебных часов из части федерального учебного плана, формируемого участниками образовательных отношений.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 xml:space="preserve">Рекомендуется добавить 14 часов на изучение учебного предмета </w:t>
      </w:r>
    </w:p>
    <w:p w:rsidR="00B114E4" w:rsidRDefault="00920228">
      <w:pPr>
        <w:ind w:left="-5"/>
      </w:pPr>
      <w:r>
        <w:t>«История» в 9</w:t>
      </w:r>
      <w:r>
        <w:t>-</w:t>
      </w:r>
      <w:r>
        <w:t xml:space="preserve">м классе. Это нужно, </w:t>
      </w:r>
      <w:r>
        <w:t>чтобы реализовать модуль «Введение в Новейшую историю России» в рамках учебного курса «История России».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>Если класс переходит на ФООП не в первый год изучения учебного предмета, школам необходимо предусмотреть переходный период или особый порядок учебног</w:t>
      </w:r>
      <w:r>
        <w:t>о планирования.</w:t>
      </w:r>
      <w:r>
        <w:t xml:space="preserve"> </w:t>
      </w:r>
    </w:p>
    <w:p w:rsidR="00B114E4" w:rsidRDefault="00920228">
      <w:pPr>
        <w:ind w:left="-5"/>
      </w:pPr>
      <w:r>
        <w:t>Например, курс «Вероятность и статистика» в рамках учебного предмета «Математика» вводится с 7</w:t>
      </w:r>
      <w:r>
        <w:t>-</w:t>
      </w:r>
      <w:r>
        <w:t>го класса. Чтобы обеспечить освоение учениками 8–</w:t>
      </w:r>
      <w:r>
        <w:t>9-</w:t>
      </w:r>
      <w:r>
        <w:t>х классов программы учебного</w:t>
      </w:r>
      <w:r>
        <w:t xml:space="preserve"> </w:t>
      </w:r>
      <w:r>
        <w:t xml:space="preserve">курса «Вероятность и статистика», школы могут включить </w:t>
      </w:r>
      <w:proofErr w:type="spellStart"/>
      <w:r>
        <w:t>вероятнос</w:t>
      </w:r>
      <w:r>
        <w:t>тностатистическое</w:t>
      </w:r>
      <w:proofErr w:type="spellEnd"/>
      <w:r>
        <w:t xml:space="preserve"> содержание в учебный курс «Алгебра». А также добавить один час в учебный план. Еще можно решить этот вопрос за счет часов внеурочной деятельности. В этом случае школа должна организовать текущий контроль успеваемости и промежуточной аттес</w:t>
      </w:r>
      <w:r>
        <w:t>тации по курсу внеурочной деятельности.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>При этом в учебном плане и классном журнале в 7–</w:t>
      </w:r>
      <w:r>
        <w:t>9-</w:t>
      </w:r>
      <w:r>
        <w:t>х классах нужно указать наименование учебного курса –</w:t>
      </w:r>
      <w:r>
        <w:t xml:space="preserve"> </w:t>
      </w:r>
      <w:r>
        <w:t>«Алгебра», «Геометрия» или «Вероятность и статистика». При выставлении итоговой оценки в аттестате зафиксиров</w:t>
      </w:r>
      <w:r>
        <w:t xml:space="preserve">ать наименование учебного предмета «Математика». Оценку проставить как среднее арифметическое </w:t>
      </w:r>
      <w:r>
        <w:lastRenderedPageBreak/>
        <w:t>годовых отметок по трем учебным курсам и экзаменационной отметки выпускника.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>Если в 2022/23 учебном году в 5</w:t>
      </w:r>
      <w:r>
        <w:t>-</w:t>
      </w:r>
      <w:r>
        <w:t>х классах не преподавались ОДНКНР, рекомендуется д</w:t>
      </w:r>
      <w:r>
        <w:t>обавить в учебный план 6</w:t>
      </w:r>
      <w:r>
        <w:t>-</w:t>
      </w:r>
      <w:r>
        <w:t>х классов еще один час на изучение предмета помимо одного часа, который есть в федеральном учебном плане. Дополнительный час предусматривается в рамках внеурочной деятельности на освоение ОДНКНР за 5–</w:t>
      </w:r>
      <w:r>
        <w:t>6-</w:t>
      </w:r>
      <w:r>
        <w:t>е классы в течение одного уче</w:t>
      </w:r>
      <w:r>
        <w:t>бного года.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>Варианты федеральных учебных планов</w:t>
      </w:r>
      <w:r>
        <w:t xml:space="preserve"> </w:t>
      </w:r>
    </w:p>
    <w:p w:rsidR="00B114E4" w:rsidRDefault="00920228">
      <w:pPr>
        <w:ind w:left="-5"/>
      </w:pPr>
      <w:r>
        <w:t>В ФОП всех уровней есть разные варианты федеральных учебных планов. Они учитывают возможность изучения родного языка, литературного чтения и родной литературы на родном языке, второго иностранного языка д</w:t>
      </w:r>
      <w:r>
        <w:t>ля пятидневной или шестидневной учебной недели.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>На уровне СОО предлагаются федеральные учебные планы для всех профилей обучения. Они соблюдают требования ФГОС СОО: включают не менее 13 учебных предметов –</w:t>
      </w:r>
      <w:r>
        <w:t xml:space="preserve"> </w:t>
      </w:r>
      <w:r>
        <w:t>«Русский язык», «Литература», «Иностранный язык»</w:t>
      </w:r>
      <w:r>
        <w:t xml:space="preserve">, «Математика», «Информатика», «История», </w:t>
      </w:r>
    </w:p>
    <w:p w:rsidR="00B114E4" w:rsidRDefault="00920228">
      <w:pPr>
        <w:ind w:left="-5"/>
      </w:pPr>
      <w:r>
        <w:t>«Обществознание», «География», «Физика», «Химия», «Биология», «Физическая культура», «Основы безопасности жизнедеятельности». Не менее двух учебных предметов</w:t>
      </w:r>
      <w:r>
        <w:t xml:space="preserve"> </w:t>
      </w:r>
      <w:r>
        <w:t>предполагают изучение на углубленном уровне. Все профил</w:t>
      </w:r>
      <w:r>
        <w:t>и обучения, в том числе универсальный, предусматривают обязательное изучение предметов на углубленном уровне.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 xml:space="preserve">Рекомендуется разрабатывать учебный план для классов </w:t>
      </w:r>
      <w:proofErr w:type="spellStart"/>
      <w:r>
        <w:t>психологопедагогической</w:t>
      </w:r>
      <w:proofErr w:type="spellEnd"/>
      <w:r>
        <w:t xml:space="preserve"> направленности на основе одного из вариантов учебного плана гумани</w:t>
      </w:r>
      <w:r>
        <w:t>тарного профиля. При этом школа должна учесть Концепцию профильных психолого</w:t>
      </w:r>
      <w:r>
        <w:t>-</w:t>
      </w:r>
      <w:r>
        <w:t>педагогических классов.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>Чтобы удовлетворить интересы школьников и их родителей, школа может включить в учебный план три учебных предмета и более для углубленного изучения. Часы на изучение учебных предметов школа распределяет самостоятельно.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lastRenderedPageBreak/>
        <w:t>Школа может перераспределять часы ф</w:t>
      </w:r>
      <w:r>
        <w:t xml:space="preserve">едерального учебного плана на изучение учебных предметов, по которым не проводится ГИА, в пользу изучения других учебных предметов. В том числе на изучение родных и/или государственных языков народов РФ. Но при этом содержание и планируемые результаты ООП </w:t>
      </w:r>
      <w:r>
        <w:t>должны быть не ниже, чем в ФООП.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>ФООП предусматривают возможность и механизмы разработки индивидуальных учебных планов, в том числе для ускоренного обучения. А также индивидуальных учебных планов, в рамках которых формируется индивидуальная траектория р</w:t>
      </w:r>
      <w:r>
        <w:t xml:space="preserve">азвития ученика. Реализация ИУП должна сопровождаться </w:t>
      </w:r>
      <w:proofErr w:type="spellStart"/>
      <w:r>
        <w:t>тьюторской</w:t>
      </w:r>
      <w:proofErr w:type="spellEnd"/>
      <w:r>
        <w:t xml:space="preserve"> поддержкой.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>Федеральный календарный учебный график</w:t>
      </w:r>
      <w:r>
        <w:t xml:space="preserve"> </w:t>
      </w:r>
    </w:p>
    <w:p w:rsidR="00B114E4" w:rsidRDefault="00920228">
      <w:pPr>
        <w:ind w:left="-5"/>
      </w:pPr>
      <w:r>
        <w:t xml:space="preserve">Федеральный календарный учебный график в ФООП устанавливает, что образовательную деятельность школы осуществляют по учебным четвертям. Однако школа вправе самостоятельно разработать календарный учебный график (ст. 12 и 28 Федерального закона от 29.12.2012 </w:t>
      </w:r>
      <w:r>
        <w:t>№ 273</w:t>
      </w:r>
      <w:r>
        <w:t>-</w:t>
      </w:r>
      <w:r>
        <w:t>ФЗ). А также организовать учебный год по триместрам.</w:t>
      </w:r>
      <w:r>
        <w:t xml:space="preserve"> </w:t>
      </w:r>
    </w:p>
    <w:p w:rsidR="00B114E4" w:rsidRDefault="00920228">
      <w:pPr>
        <w:ind w:left="-5"/>
      </w:pPr>
      <w:r>
        <w:t>Федеральный календарный учебный график устанавливает:</w:t>
      </w:r>
      <w:r>
        <w:t xml:space="preserve"> </w:t>
      </w:r>
    </w:p>
    <w:p w:rsidR="00B114E4" w:rsidRDefault="00920228">
      <w:pPr>
        <w:spacing w:after="252" w:line="259" w:lineRule="auto"/>
        <w:ind w:left="0" w:firstLine="0"/>
      </w:pPr>
      <w:r>
        <w:t xml:space="preserve"> </w:t>
      </w:r>
    </w:p>
    <w:p w:rsidR="00B114E4" w:rsidRDefault="00920228">
      <w:pPr>
        <w:numPr>
          <w:ilvl w:val="0"/>
          <w:numId w:val="2"/>
        </w:numPr>
        <w:ind w:hanging="360"/>
      </w:pPr>
      <w:r>
        <w:t>начало и окончание учебного года;</w:t>
      </w:r>
      <w:r>
        <w:t xml:space="preserve"> </w:t>
      </w:r>
    </w:p>
    <w:p w:rsidR="00B114E4" w:rsidRDefault="00920228">
      <w:pPr>
        <w:numPr>
          <w:ilvl w:val="0"/>
          <w:numId w:val="2"/>
        </w:numPr>
        <w:ind w:hanging="360"/>
      </w:pPr>
      <w:r>
        <w:t>продолжительность учебных четвертей и каникул;</w:t>
      </w:r>
      <w:r>
        <w:t xml:space="preserve"> </w:t>
      </w:r>
    </w:p>
    <w:p w:rsidR="00B114E4" w:rsidRDefault="00920228">
      <w:pPr>
        <w:numPr>
          <w:ilvl w:val="0"/>
          <w:numId w:val="2"/>
        </w:numPr>
        <w:ind w:hanging="360"/>
      </w:pPr>
      <w:r>
        <w:t>продолжительность уроков, перемен;</w:t>
      </w:r>
      <w:r>
        <w:t xml:space="preserve"> </w:t>
      </w:r>
    </w:p>
    <w:p w:rsidR="00B114E4" w:rsidRDefault="00920228">
      <w:pPr>
        <w:numPr>
          <w:ilvl w:val="0"/>
          <w:numId w:val="2"/>
        </w:numPr>
        <w:spacing w:after="268"/>
        <w:ind w:hanging="360"/>
      </w:pPr>
      <w:r>
        <w:t>распределение недель</w:t>
      </w:r>
      <w:r>
        <w:t>ной нагрузки учеников в рамках 34недельного учебного года, исключение –</w:t>
      </w:r>
      <w:r>
        <w:t xml:space="preserve"> </w:t>
      </w:r>
      <w:r>
        <w:t xml:space="preserve">учебное планирование в </w:t>
      </w:r>
      <w:r>
        <w:t>1-</w:t>
      </w:r>
      <w:r>
        <w:t>х, 9</w:t>
      </w:r>
      <w:r>
        <w:t>-</w:t>
      </w:r>
      <w:r>
        <w:t>х и 11</w:t>
      </w:r>
      <w:r>
        <w:t>-</w:t>
      </w:r>
      <w:r>
        <w:t>х классах.</w:t>
      </w:r>
      <w:r>
        <w:t xml:space="preserve"> </w:t>
      </w:r>
    </w:p>
    <w:p w:rsidR="00B114E4" w:rsidRDefault="00920228">
      <w:pPr>
        <w:ind w:left="-5"/>
      </w:pPr>
      <w:r>
        <w:t>Каждая школа может самостоятельно определить режим работы –</w:t>
      </w:r>
      <w:r>
        <w:t xml:space="preserve"> </w:t>
      </w:r>
      <w:r>
        <w:t>выбрать 5</w:t>
      </w:r>
      <w:r>
        <w:t>-</w:t>
      </w:r>
      <w:r>
        <w:t>дневную или 6</w:t>
      </w:r>
      <w:r>
        <w:t>-</w:t>
      </w:r>
      <w:r>
        <w:t xml:space="preserve">дневную учебную неделю. При этом нужно </w:t>
      </w:r>
    </w:p>
    <w:p w:rsidR="00B114E4" w:rsidRDefault="00920228">
      <w:pPr>
        <w:ind w:left="-5" w:right="2434"/>
      </w:pPr>
      <w:r>
        <w:t>ориентирова</w:t>
      </w:r>
      <w:r>
        <w:t>ться на требования законодательства,</w:t>
      </w:r>
      <w:r>
        <w:t xml:space="preserve"> </w:t>
      </w:r>
      <w:r>
        <w:t>СП и СанПиН.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>Изменения в ООП</w:t>
      </w:r>
      <w:r>
        <w:t xml:space="preserve"> </w:t>
      </w:r>
    </w:p>
    <w:p w:rsidR="00B114E4" w:rsidRDefault="00920228">
      <w:pPr>
        <w:ind w:left="-5"/>
      </w:pPr>
      <w:r>
        <w:t>Основные общеобразовательные программы школы должны привести в соответствие с ФООП не позднее 1 сентября 2023 года. С этой даты школы обязаны ввести ФООП для всех классов –</w:t>
      </w:r>
      <w:r>
        <w:t xml:space="preserve"> </w:t>
      </w:r>
      <w:r>
        <w:t>с 1</w:t>
      </w:r>
      <w:r>
        <w:t>-</w:t>
      </w:r>
      <w:r>
        <w:t>го по</w:t>
      </w:r>
      <w:r>
        <w:t xml:space="preserve"> 11-</w:t>
      </w:r>
      <w:r>
        <w:t>й.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lastRenderedPageBreak/>
        <w:t>В 11</w:t>
      </w:r>
      <w:r>
        <w:t>-</w:t>
      </w:r>
      <w:r>
        <w:t>х классах 2023/24 учебного года можно реализовывать учебный план профиля, который был разработан до введения ФОП. Но при этом школы должны привести рабочие программы по учебным предметам учебного плана в соответствие с ФОП СОО.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>Обеспечение уч</w:t>
      </w:r>
      <w:r>
        <w:t>ебниками</w:t>
      </w:r>
      <w:r>
        <w:t xml:space="preserve"> </w:t>
      </w:r>
    </w:p>
    <w:p w:rsidR="00B114E4" w:rsidRDefault="00920228">
      <w:pPr>
        <w:ind w:left="-5"/>
      </w:pPr>
      <w:r>
        <w:t>Пока будут создаваться и утверждаться УМК по ФООП, продолжит действовать новый ФПУ. Школы могут приобретать по этому перечню учебники для реализации ФОП. При этом ФПУ устанавливает предельные сроки использования учебников, которые исключили из пр</w:t>
      </w:r>
      <w:r>
        <w:t xml:space="preserve">ежнего ФПУ. Такие учебники можно применять до истечения предельных сроков. Еще учебные пособия можно выбирать от тех организаций, которые есть в перечне </w:t>
      </w:r>
      <w:proofErr w:type="spellStart"/>
      <w:r>
        <w:t>Минобрнауки</w:t>
      </w:r>
      <w:proofErr w:type="spellEnd"/>
      <w:r>
        <w:t xml:space="preserve"> от 09.06.2016 № </w:t>
      </w:r>
      <w:r>
        <w:t xml:space="preserve">699.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>Формы методической поддержки внедрения ФООП на федеральном уровне</w:t>
      </w:r>
      <w:r>
        <w:t xml:space="preserve"> </w:t>
      </w:r>
    </w:p>
    <w:p w:rsidR="00B114E4" w:rsidRDefault="00920228">
      <w:pPr>
        <w:ind w:left="-5"/>
      </w:pPr>
      <w:r>
        <w:t>В марте–апреле 2023 года запланировано проведение окружных и всероссийских совещаний по вопросам введения ФООП. На портале Единого содержания общего образования в срок до конца марта 2023 года будет доработан конструктор рабочих программ. Здесь же педагоги</w:t>
      </w:r>
      <w:r>
        <w:t xml:space="preserve"> и администрация школ могут получить индивидуальную консультативную помощь по вопросам введения ФООП. Для этого нужно перейти на вкладку сайта «Горячая линия». Также на портале ЕДСОО можно ознакомиться с материалами Всероссийских просветительских мероприят</w:t>
      </w:r>
      <w:r>
        <w:t>ий по вопросу внедрения ФООП, которые прошли в конце 2022 года.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>Институт стратегии развития образования РАО в рамках сопровождения внедрения ФООП планирует в 2023 году:</w:t>
      </w:r>
      <w:r>
        <w:t xml:space="preserve"> </w:t>
      </w:r>
    </w:p>
    <w:p w:rsidR="00B114E4" w:rsidRDefault="00920228">
      <w:pPr>
        <w:spacing w:after="251" w:line="259" w:lineRule="auto"/>
        <w:ind w:left="0" w:firstLine="0"/>
      </w:pPr>
      <w:r>
        <w:t xml:space="preserve"> </w:t>
      </w:r>
    </w:p>
    <w:p w:rsidR="00B114E4" w:rsidRDefault="00920228">
      <w:pPr>
        <w:numPr>
          <w:ilvl w:val="0"/>
          <w:numId w:val="3"/>
        </w:numPr>
        <w:ind w:hanging="360"/>
      </w:pPr>
      <w:r>
        <w:t>подготовить методические пособия для учителей по реализации ФГОС общего образования;</w:t>
      </w:r>
      <w:r>
        <w:t xml:space="preserve"> </w:t>
      </w:r>
    </w:p>
    <w:p w:rsidR="00B114E4" w:rsidRDefault="00920228">
      <w:pPr>
        <w:numPr>
          <w:ilvl w:val="0"/>
          <w:numId w:val="3"/>
        </w:numPr>
        <w:ind w:hanging="360"/>
      </w:pPr>
      <w:r>
        <w:t xml:space="preserve">разработать </w:t>
      </w:r>
      <w:proofErr w:type="spellStart"/>
      <w:r>
        <w:t>методрекомендации</w:t>
      </w:r>
      <w:proofErr w:type="spellEnd"/>
      <w:r>
        <w:t xml:space="preserve"> по интеграции предметного содержания урочной деятельности с системой </w:t>
      </w:r>
      <w:proofErr w:type="spellStart"/>
      <w:r>
        <w:t>допобразования</w:t>
      </w:r>
      <w:proofErr w:type="spellEnd"/>
      <w:r>
        <w:t xml:space="preserve">, в том числе интеграции содержания литературы и истории </w:t>
      </w:r>
      <w:r>
        <w:t>с деятельностью школьных театров, в том числе и в целях реализации федеральной программы воспитания;</w:t>
      </w:r>
      <w:r>
        <w:t xml:space="preserve"> </w:t>
      </w:r>
    </w:p>
    <w:p w:rsidR="00B114E4" w:rsidRDefault="00920228">
      <w:pPr>
        <w:numPr>
          <w:ilvl w:val="0"/>
          <w:numId w:val="3"/>
        </w:numPr>
        <w:ind w:hanging="360"/>
      </w:pPr>
      <w:r>
        <w:lastRenderedPageBreak/>
        <w:t>подготовить рабочие программы по организации внеурочной деятельности для общего образования, в том числе по организации НВП, программы «Россия –</w:t>
      </w:r>
      <w:r>
        <w:t xml:space="preserve"> </w:t>
      </w:r>
      <w:r>
        <w:t>моя истор</w:t>
      </w:r>
      <w:r>
        <w:t>ия», по организации профильного обучения, а также программ для детей, испытывающих трудности в обучении;</w:t>
      </w:r>
      <w:r>
        <w:t xml:space="preserve"> </w:t>
      </w:r>
    </w:p>
    <w:p w:rsidR="00B114E4" w:rsidRDefault="00920228">
      <w:pPr>
        <w:numPr>
          <w:ilvl w:val="0"/>
          <w:numId w:val="3"/>
        </w:numPr>
        <w:ind w:hanging="360"/>
      </w:pPr>
      <w:r>
        <w:t>провести серию окружных совещаний с педагогами субъектов РФ по актуальным вопросам введения ФГОС общего образования и реализации ФООП;</w:t>
      </w:r>
      <w:r>
        <w:t xml:space="preserve"> </w:t>
      </w:r>
    </w:p>
    <w:p w:rsidR="00B114E4" w:rsidRDefault="00920228">
      <w:pPr>
        <w:numPr>
          <w:ilvl w:val="0"/>
          <w:numId w:val="3"/>
        </w:numPr>
        <w:ind w:hanging="360"/>
      </w:pPr>
      <w:r>
        <w:t>проводить на р</w:t>
      </w:r>
      <w:r>
        <w:t xml:space="preserve">егулярной основе методические семинары, </w:t>
      </w:r>
      <w:proofErr w:type="spellStart"/>
      <w:r>
        <w:t>вебинары</w:t>
      </w:r>
      <w:proofErr w:type="spellEnd"/>
      <w:r>
        <w:t xml:space="preserve"> для учителей по актуальным вопросам реализации обновленных ФГОС НОО, ООО и СОО в соответствии с ФООП.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>Критерии готовности к введению ФООП</w:t>
      </w:r>
      <w:r>
        <w:t xml:space="preserve"> </w:t>
      </w:r>
    </w:p>
    <w:p w:rsidR="00B114E4" w:rsidRDefault="00920228">
      <w:pPr>
        <w:ind w:left="-5"/>
      </w:pPr>
      <w:r>
        <w:t>Критерии готовности образовательных организаций к введению ФООП с</w:t>
      </w:r>
      <w:r>
        <w:t xml:space="preserve">одержат пункты, по которым школы могут провести самопроверку (письмо </w:t>
      </w:r>
      <w:proofErr w:type="spellStart"/>
      <w:r>
        <w:t>Минпросвещения</w:t>
      </w:r>
      <w:proofErr w:type="spellEnd"/>
      <w:r>
        <w:t xml:space="preserve"> от 03.03.2023 № 03</w:t>
      </w:r>
      <w:r>
        <w:t>-</w:t>
      </w:r>
      <w:r>
        <w:t>327). Всего в списке семь критериев –</w:t>
      </w:r>
      <w:r>
        <w:t xml:space="preserve"> </w:t>
      </w:r>
      <w:r>
        <w:t>смотрите их в таблице ниже.</w:t>
      </w:r>
      <w:r>
        <w:t xml:space="preserve"> </w:t>
      </w:r>
    </w:p>
    <w:p w:rsidR="00B114E4" w:rsidRDefault="00920228">
      <w:pPr>
        <w:spacing w:after="0" w:line="259" w:lineRule="auto"/>
        <w:ind w:left="0" w:firstLine="0"/>
      </w:pPr>
      <w:r>
        <w:t xml:space="preserve"> </w:t>
      </w:r>
    </w:p>
    <w:p w:rsidR="00B114E4" w:rsidRDefault="00920228">
      <w:pPr>
        <w:ind w:left="-5"/>
      </w:pPr>
      <w:r>
        <w:t xml:space="preserve">Критерии помогут школам спланировать свою работу по внедрению ФООП, чтобы уложиться </w:t>
      </w:r>
      <w:r>
        <w:t>до 1 сентября 2023 года. Опираясь на них, школы могут составить список первоочередных и текущих задач для администрации школы и педагогического коллектива по внедрению ФООП. Смотрите в таблице критерии, которые эксперты Системы Завуч дополнили задачами, пр</w:t>
      </w:r>
      <w:r>
        <w:t>имерными ответственными и сроками.</w:t>
      </w:r>
      <w:r>
        <w:t xml:space="preserve"> </w:t>
      </w:r>
    </w:p>
    <w:tbl>
      <w:tblPr>
        <w:tblStyle w:val="TableGrid"/>
        <w:tblW w:w="9907" w:type="dxa"/>
        <w:tblInd w:w="6" w:type="dxa"/>
        <w:tblCellMar>
          <w:top w:w="5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3010"/>
        <w:gridCol w:w="2187"/>
        <w:gridCol w:w="1169"/>
      </w:tblGrid>
      <w:tr w:rsidR="00B114E4">
        <w:trPr>
          <w:trHeight w:val="664"/>
        </w:trPr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left="0" w:right="1" w:firstLine="0"/>
              <w:jc w:val="center"/>
            </w:pPr>
            <w:r>
              <w:t>Критерий</w:t>
            </w:r>
            <w:r>
              <w:t xml:space="preserve"> </w:t>
            </w:r>
          </w:p>
        </w:tc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left="7" w:firstLine="0"/>
              <w:jc w:val="center"/>
            </w:pPr>
            <w:r>
              <w:t>Задачи</w:t>
            </w:r>
            <w:r>
              <w:t xml:space="preserve"> 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left="42" w:firstLine="0"/>
              <w:jc w:val="both"/>
            </w:pPr>
            <w:r>
              <w:t>Ответственные</w:t>
            </w:r>
            <w:r>
              <w:t xml:space="preserve"> 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left="170" w:firstLine="0"/>
            </w:pPr>
            <w:r>
              <w:t>Сроки</w:t>
            </w:r>
            <w:r>
              <w:t xml:space="preserve"> </w:t>
            </w:r>
          </w:p>
        </w:tc>
      </w:tr>
      <w:tr w:rsidR="00B114E4">
        <w:trPr>
          <w:trHeight w:val="2077"/>
        </w:trPr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right="502" w:firstLine="0"/>
              <w:jc w:val="both"/>
            </w:pPr>
            <w:r>
              <w:t xml:space="preserve">Разработан и утвержден </w:t>
            </w:r>
            <w:proofErr w:type="spellStart"/>
            <w:r>
              <w:t>планграфик</w:t>
            </w:r>
            <w:proofErr w:type="spellEnd"/>
            <w:r>
              <w:t xml:space="preserve"> мероприятий по введению ФООП</w:t>
            </w:r>
            <w:r>
              <w:t xml:space="preserve"> </w:t>
            </w:r>
          </w:p>
        </w:tc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39" w:lineRule="auto"/>
              <w:ind w:firstLine="0"/>
            </w:pPr>
            <w:r>
              <w:t>Составить план</w:t>
            </w:r>
            <w:r>
              <w:t>-</w:t>
            </w:r>
            <w:r>
              <w:t>график или</w:t>
            </w:r>
            <w:hyperlink r:id="rId7" w:anchor="/document/118/114711/">
              <w:r>
                <w:t xml:space="preserve"> </w:t>
              </w:r>
            </w:hyperlink>
            <w:hyperlink r:id="rId8" w:anchor="/document/118/114711/">
              <w:r>
                <w:rPr>
                  <w:color w:val="2C66AF"/>
                  <w:u w:val="single" w:color="2C66AF"/>
                </w:rPr>
                <w:t>дорожную карту</w:t>
              </w:r>
            </w:hyperlink>
            <w:hyperlink r:id="rId9" w:anchor="/document/118/114711/">
              <w:r>
                <w:rPr>
                  <w:color w:val="2C66AF"/>
                </w:rPr>
                <w:t xml:space="preserve"> </w:t>
              </w:r>
            </w:hyperlink>
            <w:hyperlink r:id="rId10" w:anchor="/document/118/114711/">
              <w:r>
                <w:rPr>
                  <w:color w:val="2C66AF"/>
                </w:rPr>
                <w:t>мероприятий по введению</w:t>
              </w:r>
            </w:hyperlink>
          </w:p>
          <w:p w:rsidR="00B114E4" w:rsidRDefault="00920228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-62896</wp:posOffset>
                      </wp:positionV>
                      <wp:extent cx="2335276" cy="233934"/>
                      <wp:effectExtent l="0" t="0" r="0" b="0"/>
                      <wp:wrapNone/>
                      <wp:docPr id="7832" name="Group 7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5276" cy="233934"/>
                                <a:chOff x="0" y="0"/>
                                <a:chExt cx="2335276" cy="233934"/>
                              </a:xfrm>
                            </wpg:grpSpPr>
                            <wps:wsp>
                              <wps:cNvPr id="8525" name="Shape 8525"/>
                              <wps:cNvSpPr/>
                              <wps:spPr>
                                <a:xfrm>
                                  <a:off x="0" y="0"/>
                                  <a:ext cx="2335276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5276" h="10160">
                                      <a:moveTo>
                                        <a:pt x="0" y="0"/>
                                      </a:moveTo>
                                      <a:lnTo>
                                        <a:pt x="2335276" y="0"/>
                                      </a:lnTo>
                                      <a:lnTo>
                                        <a:pt x="2335276" y="1016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66A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6" name="Shape 8526"/>
                              <wps:cNvSpPr/>
                              <wps:spPr>
                                <a:xfrm>
                                  <a:off x="0" y="223774"/>
                                  <a:ext cx="526098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6098" h="10160">
                                      <a:moveTo>
                                        <a:pt x="0" y="0"/>
                                      </a:moveTo>
                                      <a:lnTo>
                                        <a:pt x="526098" y="0"/>
                                      </a:lnTo>
                                      <a:lnTo>
                                        <a:pt x="526098" y="1016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66A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7832" style="width:183.88pt;height:18.42pt;position:absolute;z-index:-2147483569;mso-position-horizontal-relative:text;mso-position-horizontal:absolute;margin-left:0.500015pt;mso-position-vertical-relative:text;margin-top:-4.95251pt;" coordsize="23352,2339">
                      <v:shape id="Shape 8527" style="position:absolute;width:23352;height:101;left:0;top:0;" coordsize="2335276,10160" path="m0,0l2335276,0l2335276,10160l0,10160l0,0">
                        <v:stroke weight="0pt" endcap="flat" joinstyle="miter" miterlimit="10" on="false" color="#000000" opacity="0"/>
                        <v:fill on="true" color="#2c66af"/>
                      </v:shape>
                      <v:shape id="Shape 8528" style="position:absolute;width:5260;height:101;left:0;top:2237;" coordsize="526098,10160" path="m0,0l526098,0l526098,10160l0,10160l0,0">
                        <v:stroke weight="0pt" endcap="flat" joinstyle="miter" miterlimit="10" on="false" color="#000000" opacity="0"/>
                        <v:fill on="true" color="#2c66af"/>
                      </v:shape>
                    </v:group>
                  </w:pict>
                </mc:Fallback>
              </mc:AlternateContent>
            </w:r>
            <w:hyperlink r:id="rId11" w:anchor="/document/118/114711/">
              <w:r>
                <w:rPr>
                  <w:color w:val="2C66AF"/>
                </w:rPr>
                <w:t>ФООП</w:t>
              </w:r>
            </w:hyperlink>
            <w:hyperlink r:id="rId12" w:anchor="/document/118/114711/">
              <w:r>
                <w:t xml:space="preserve"> </w:t>
              </w:r>
            </w:hyperlink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firstLine="0"/>
            </w:pPr>
            <w:hyperlink r:id="rId13" w:anchor="/document/118/114711/">
              <w:r>
                <w:t>З</w:t>
              </w:r>
            </w:hyperlink>
            <w:r>
              <w:t xml:space="preserve">аместители </w:t>
            </w:r>
          </w:p>
          <w:p w:rsidR="00B114E4" w:rsidRDefault="00920228">
            <w:pPr>
              <w:spacing w:after="0" w:line="259" w:lineRule="auto"/>
              <w:ind w:firstLine="0"/>
            </w:pPr>
            <w:hyperlink r:id="rId14" w:anchor="/document/118/114711/">
              <w:r>
                <w:t>д</w:t>
              </w:r>
            </w:hyperlink>
            <w:r>
              <w:t>иректора по</w:t>
            </w:r>
            <w:r>
              <w:t xml:space="preserve"> </w:t>
            </w:r>
          </w:p>
          <w:p w:rsidR="00B114E4" w:rsidRDefault="00920228">
            <w:pPr>
              <w:spacing w:after="0" w:line="259" w:lineRule="auto"/>
              <w:ind w:left="-31" w:firstLine="0"/>
            </w:pPr>
            <w:hyperlink r:id="rId15" w:anchor="/document/118/114711/">
              <w:r>
                <w:rPr>
                  <w:color w:val="2C66AF"/>
                </w:rPr>
                <w:t xml:space="preserve"> </w:t>
              </w:r>
            </w:hyperlink>
          </w:p>
          <w:p w:rsidR="00B114E4" w:rsidRDefault="00920228">
            <w:pPr>
              <w:spacing w:after="0" w:line="259" w:lineRule="auto"/>
              <w:ind w:firstLine="0"/>
            </w:pPr>
            <w:r>
              <w:t>УВР, ВР, НМР</w:t>
            </w:r>
            <w:r>
              <w:t xml:space="preserve"> 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firstLine="0"/>
            </w:pPr>
            <w:r>
              <w:t>Март</w:t>
            </w:r>
            <w:r>
              <w:t xml:space="preserve"> </w:t>
            </w:r>
          </w:p>
        </w:tc>
      </w:tr>
      <w:tr w:rsidR="00B114E4">
        <w:trPr>
          <w:trHeight w:val="3729"/>
        </w:trPr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39" w:lineRule="auto"/>
              <w:ind w:firstLine="0"/>
            </w:pPr>
            <w:r>
              <w:lastRenderedPageBreak/>
              <w:t xml:space="preserve">Разработаны и утверждены ООП НОО, ООО и СОО, которые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 xml:space="preserve">соответствуют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>ФООП</w:t>
            </w:r>
            <w:r>
              <w:t xml:space="preserve"> </w:t>
            </w:r>
          </w:p>
        </w:tc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firstLine="0"/>
              <w:jc w:val="both"/>
            </w:pPr>
            <w:r>
              <w:t>Доработа</w:t>
            </w:r>
            <w:r>
              <w:t xml:space="preserve">ть ООП НОО, ООО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>и СОО. Утвердить изменения приказом</w:t>
            </w:r>
            <w:r>
              <w:t xml:space="preserve">  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300" w:line="238" w:lineRule="auto"/>
              <w:ind w:firstLine="0"/>
            </w:pPr>
            <w:r>
              <w:t>Заместители директора по УВР, ВР.</w:t>
            </w:r>
            <w:r>
              <w:t xml:space="preserve"> </w:t>
            </w:r>
          </w:p>
          <w:p w:rsidR="00B114E4" w:rsidRDefault="00920228">
            <w:pPr>
              <w:spacing w:after="300" w:line="239" w:lineRule="auto"/>
              <w:ind w:firstLine="0"/>
            </w:pPr>
            <w:r>
              <w:t>Руководители ШМО.</w:t>
            </w:r>
            <w:r>
              <w:t xml:space="preserve">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>Советник директора по воспитанию</w:t>
            </w:r>
            <w:r>
              <w:t xml:space="preserve"> 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firstLine="0"/>
            </w:pPr>
            <w:r>
              <w:t>Апрель– август</w:t>
            </w:r>
            <w:r>
              <w:t xml:space="preserve"> </w:t>
            </w:r>
          </w:p>
        </w:tc>
      </w:tr>
      <w:tr w:rsidR="00B114E4">
        <w:trPr>
          <w:trHeight w:val="2376"/>
        </w:trPr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right="171" w:firstLine="0"/>
              <w:jc w:val="both"/>
            </w:pPr>
            <w:r>
              <w:t>Локальные нормативные акты обновлены под требования ФООП</w:t>
            </w:r>
            <w:r>
              <w:t xml:space="preserve"> </w:t>
            </w:r>
          </w:p>
        </w:tc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firstLine="0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384397</wp:posOffset>
                      </wp:positionV>
                      <wp:extent cx="1435735" cy="10160"/>
                      <wp:effectExtent l="0" t="0" r="0" b="0"/>
                      <wp:wrapNone/>
                      <wp:docPr id="8081" name="Group 8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735" cy="10160"/>
                                <a:chOff x="0" y="0"/>
                                <a:chExt cx="1435735" cy="10160"/>
                              </a:xfrm>
                            </wpg:grpSpPr>
                            <wps:wsp>
                              <wps:cNvPr id="8529" name="Shape 8529"/>
                              <wps:cNvSpPr/>
                              <wps:spPr>
                                <a:xfrm>
                                  <a:off x="0" y="0"/>
                                  <a:ext cx="1435735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5735" h="10160">
                                      <a:moveTo>
                                        <a:pt x="0" y="0"/>
                                      </a:moveTo>
                                      <a:lnTo>
                                        <a:pt x="1435735" y="0"/>
                                      </a:lnTo>
                                      <a:lnTo>
                                        <a:pt x="1435735" y="1016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C66A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081" style="width:113.05pt;height:0.799988pt;position:absolute;z-index:-2147483493;mso-position-horizontal-relative:text;mso-position-horizontal:absolute;margin-left:0.500015pt;mso-position-vertical-relative:text;margin-top:30.2675pt;" coordsize="14357,101">
                      <v:shape id="Shape 8530" style="position:absolute;width:14357;height:101;left:0;top:0;" coordsize="1435735,10160" path="m0,0l1435735,0l1435735,10160l0,10160l0,0">
                        <v:stroke weight="0pt" endcap="flat" joinstyle="miter" miterlimit="10" on="false" color="#000000" opacity="0"/>
                        <v:fill on="true" color="#2c66af"/>
                      </v:shape>
                    </v:group>
                  </w:pict>
                </mc:Fallback>
              </mc:AlternateContent>
            </w:r>
            <w:r>
              <w:t>Проверить</w:t>
            </w:r>
            <w:hyperlink r:id="rId16" w:anchor="/document/86/567833/">
              <w:r>
                <w:t xml:space="preserve"> </w:t>
              </w:r>
            </w:hyperlink>
            <w:hyperlink r:id="rId17" w:anchor="/document/86/567833/">
              <w:r>
                <w:rPr>
                  <w:color w:val="2C66AF"/>
                  <w:u w:val="single" w:color="2C66AF"/>
                </w:rPr>
                <w:t>школьные</w:t>
              </w:r>
            </w:hyperlink>
            <w:hyperlink r:id="rId18" w:anchor="/document/86/567833/">
              <w:r>
                <w:rPr>
                  <w:color w:val="2C66AF"/>
                </w:rPr>
                <w:t xml:space="preserve"> </w:t>
              </w:r>
            </w:hyperlink>
            <w:hyperlink r:id="rId19" w:anchor="/document/86/567833/">
              <w:r>
                <w:rPr>
                  <w:color w:val="2C66AF"/>
                </w:rPr>
                <w:t>локальные акты</w:t>
              </w:r>
            </w:hyperlink>
            <w:hyperlink r:id="rId20" w:anchor="/document/86/567833/">
              <w:r>
                <w:t>.</w:t>
              </w:r>
            </w:hyperlink>
            <w:r>
              <w:t xml:space="preserve"> При необходимости</w:t>
            </w:r>
            <w:r>
              <w:t xml:space="preserve"> </w:t>
            </w:r>
            <w:r>
              <w:t>привести их в соответствие с ФООП</w:t>
            </w:r>
            <w:r>
              <w:t xml:space="preserve"> 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300" w:line="238" w:lineRule="auto"/>
              <w:ind w:firstLine="0"/>
            </w:pPr>
            <w:r>
              <w:t xml:space="preserve">Заместители </w:t>
            </w:r>
            <w:hyperlink r:id="rId21" w:anchor="/document/86/567833/">
              <w:r>
                <w:t>д</w:t>
              </w:r>
            </w:hyperlink>
            <w:r>
              <w:t>иректора по УВР, ВР, НМР.</w:t>
            </w:r>
            <w:r>
              <w:t xml:space="preserve">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 xml:space="preserve">Руководители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>ШМО</w:t>
            </w:r>
            <w:r>
              <w:t xml:space="preserve"> 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firstLine="0"/>
            </w:pPr>
            <w:r>
              <w:t>Апрель– август</w:t>
            </w:r>
            <w:r>
              <w:t xml:space="preserve"> </w:t>
            </w:r>
          </w:p>
        </w:tc>
      </w:tr>
      <w:tr w:rsidR="00B114E4">
        <w:trPr>
          <w:trHeight w:val="4889"/>
        </w:trPr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firstLine="0"/>
            </w:pPr>
            <w:r>
              <w:t xml:space="preserve">Разработан план работы </w:t>
            </w:r>
            <w:proofErr w:type="spellStart"/>
            <w:r>
              <w:t>внутришкольных</w:t>
            </w:r>
            <w:proofErr w:type="spellEnd"/>
            <w:r>
              <w:t xml:space="preserve"> методических объединений с ориентацией на рассмотрение и методическую помощь педагогическим работникам в вопросах реализации ФООП</w:t>
            </w:r>
            <w:r>
              <w:t xml:space="preserve"> </w:t>
            </w:r>
          </w:p>
        </w:tc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firstLine="0"/>
            </w:pPr>
            <w:r>
              <w:t>Разработать планы работы предметных ШМО, ШМО классных руководителей</w:t>
            </w:r>
            <w:r>
              <w:t xml:space="preserve"> 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300" w:line="239" w:lineRule="auto"/>
              <w:ind w:firstLine="0"/>
            </w:pPr>
            <w:r>
              <w:t>Заместитель директора по НМР.</w:t>
            </w:r>
            <w:r>
              <w:t xml:space="preserve">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 xml:space="preserve">Руководители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>ШМО</w:t>
            </w:r>
            <w:r>
              <w:t xml:space="preserve"> 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firstLine="0"/>
            </w:pPr>
            <w:r>
              <w:t>Август</w:t>
            </w:r>
            <w:r>
              <w:t xml:space="preserve"> </w:t>
            </w:r>
          </w:p>
        </w:tc>
      </w:tr>
      <w:tr w:rsidR="00B114E4">
        <w:trPr>
          <w:trHeight w:val="2781"/>
        </w:trPr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firstLine="0"/>
            </w:pPr>
            <w:r>
              <w:t>Осуществлено повышение квалификации управленческой и педагогической команд по вопросам введения ФООП</w:t>
            </w:r>
            <w:r>
              <w:t xml:space="preserve"> </w:t>
            </w:r>
          </w:p>
        </w:tc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right="3" w:firstLine="0"/>
            </w:pPr>
            <w:r>
              <w:t>Обеспечить прохождение КПК по вопросам введения ФООП для педагогов и администрации школы</w:t>
            </w:r>
            <w:r>
              <w:t xml:space="preserve"> 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300" w:line="238" w:lineRule="auto"/>
              <w:ind w:firstLine="0"/>
            </w:pPr>
            <w:r>
              <w:t>Заместитель директора по НМР.</w:t>
            </w:r>
            <w:r>
              <w:t xml:space="preserve">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 xml:space="preserve">Руководители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>ШМО</w:t>
            </w:r>
            <w:r>
              <w:t xml:space="preserve"> 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firstLine="0"/>
            </w:pPr>
            <w:r>
              <w:t>Март–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>август</w:t>
            </w:r>
            <w:r>
              <w:t xml:space="preserve"> </w:t>
            </w:r>
          </w:p>
        </w:tc>
      </w:tr>
      <w:tr w:rsidR="00B114E4">
        <w:trPr>
          <w:trHeight w:val="2424"/>
        </w:trPr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firstLine="0"/>
            </w:pPr>
            <w:r>
              <w:lastRenderedPageBreak/>
              <w:t>Сформирована система мониторинга готовности каждого учителя к реализации ФООП</w:t>
            </w:r>
            <w:r>
              <w:t xml:space="preserve"> </w:t>
            </w:r>
          </w:p>
        </w:tc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38" w:lineRule="auto"/>
              <w:ind w:firstLine="0"/>
              <w:jc w:val="both"/>
            </w:pPr>
            <w:r>
              <w:t>Разработать систему мо</w:t>
            </w:r>
            <w:r>
              <w:t xml:space="preserve">ниторинга готовности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 xml:space="preserve">педагогов к реализации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>ФООП</w:t>
            </w:r>
            <w:r>
              <w:t xml:space="preserve"> 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296" w:line="238" w:lineRule="auto"/>
              <w:ind w:firstLine="0"/>
            </w:pPr>
            <w:r>
              <w:t>Заместители директора по УВР, ВР, НМР.</w:t>
            </w:r>
            <w:r>
              <w:t xml:space="preserve">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 xml:space="preserve">Руководители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>ШМО</w:t>
            </w:r>
            <w:r>
              <w:t xml:space="preserve"> 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firstLine="0"/>
            </w:pPr>
            <w:r>
              <w:t>Март</w:t>
            </w:r>
            <w:r>
              <w:t xml:space="preserve"> </w:t>
            </w:r>
          </w:p>
        </w:tc>
      </w:tr>
      <w:tr w:rsidR="00B114E4">
        <w:trPr>
          <w:trHeight w:val="3837"/>
        </w:trPr>
        <w:tc>
          <w:tcPr>
            <w:tcW w:w="2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1" w:line="238" w:lineRule="auto"/>
              <w:ind w:firstLine="0"/>
            </w:pPr>
            <w:r>
              <w:t xml:space="preserve">Обеспечены кадровые, финансовые, </w:t>
            </w:r>
            <w:proofErr w:type="spellStart"/>
            <w:r>
              <w:t>материальнотехнические</w:t>
            </w:r>
            <w:proofErr w:type="spellEnd"/>
            <w:r>
              <w:t xml:space="preserve"> и иные условия реализации</w:t>
            </w:r>
          </w:p>
          <w:p w:rsidR="00B114E4" w:rsidRDefault="00920228">
            <w:pPr>
              <w:spacing w:after="0" w:line="238" w:lineRule="auto"/>
              <w:ind w:firstLine="0"/>
            </w:pPr>
            <w:r>
              <w:t xml:space="preserve">ООП НОО, ООО и СОО, которые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 xml:space="preserve">соответствуют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>ФООП</w:t>
            </w:r>
            <w:r>
              <w:t xml:space="preserve"> </w:t>
            </w:r>
          </w:p>
        </w:tc>
        <w:tc>
          <w:tcPr>
            <w:tcW w:w="3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39" w:lineRule="auto"/>
              <w:ind w:right="86" w:firstLine="0"/>
            </w:pPr>
            <w:r>
              <w:t>Провести проверку</w:t>
            </w:r>
            <w:r>
              <w:t xml:space="preserve"> </w:t>
            </w:r>
            <w:r>
              <w:t>кадровых, финансовых, материально</w:t>
            </w:r>
            <w:r>
              <w:t>-</w:t>
            </w:r>
            <w:r>
              <w:t xml:space="preserve">технических </w:t>
            </w:r>
          </w:p>
          <w:p w:rsidR="00B114E4" w:rsidRDefault="00920228">
            <w:pPr>
              <w:spacing w:after="0" w:line="259" w:lineRule="auto"/>
              <w:ind w:left="-28" w:firstLine="0"/>
            </w:pPr>
            <w:r>
              <w:t xml:space="preserve">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>и иных условий реализации ООП по требованиям ФООП</w:t>
            </w:r>
            <w:r>
              <w:t xml:space="preserve"> </w:t>
            </w:r>
          </w:p>
        </w:tc>
        <w:tc>
          <w:tcPr>
            <w:tcW w:w="2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270" w:line="259" w:lineRule="auto"/>
              <w:ind w:firstLine="0"/>
            </w:pPr>
            <w:r>
              <w:t>Директор.</w:t>
            </w:r>
            <w:r>
              <w:t xml:space="preserve"> </w:t>
            </w:r>
          </w:p>
          <w:p w:rsidR="00B114E4" w:rsidRDefault="00920228">
            <w:pPr>
              <w:spacing w:after="0" w:line="238" w:lineRule="auto"/>
              <w:ind w:firstLine="0"/>
            </w:pPr>
            <w:r>
              <w:t xml:space="preserve">Заместители директора по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 xml:space="preserve">УВР, ВР, НМР, </w:t>
            </w:r>
          </w:p>
          <w:p w:rsidR="00B114E4" w:rsidRDefault="00920228">
            <w:pPr>
              <w:spacing w:after="0" w:line="259" w:lineRule="auto"/>
              <w:ind w:firstLine="0"/>
            </w:pPr>
            <w:r>
              <w:t>АХЧ</w:t>
            </w:r>
            <w:r>
              <w:t xml:space="preserve"> </w:t>
            </w:r>
          </w:p>
        </w:tc>
        <w:tc>
          <w:tcPr>
            <w:tcW w:w="1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14E4" w:rsidRDefault="00920228">
            <w:pPr>
              <w:spacing w:after="0" w:line="259" w:lineRule="auto"/>
              <w:ind w:firstLine="0"/>
            </w:pPr>
            <w:r>
              <w:t>Июнь– июль</w:t>
            </w:r>
            <w:r>
              <w:t xml:space="preserve"> </w:t>
            </w:r>
          </w:p>
        </w:tc>
      </w:tr>
    </w:tbl>
    <w:p w:rsidR="00B114E4" w:rsidRDefault="00920228">
      <w:pPr>
        <w:spacing w:after="0" w:line="259" w:lineRule="auto"/>
        <w:ind w:left="0" w:firstLine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sectPr w:rsidR="00B114E4">
      <w:pgSz w:w="11908" w:h="16836"/>
      <w:pgMar w:top="1138" w:right="864" w:bottom="127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228" w:rsidRDefault="00920228" w:rsidP="005056B3">
      <w:pPr>
        <w:spacing w:after="0" w:line="240" w:lineRule="auto"/>
      </w:pPr>
      <w:r>
        <w:separator/>
      </w:r>
    </w:p>
  </w:endnote>
  <w:endnote w:type="continuationSeparator" w:id="0">
    <w:p w:rsidR="00920228" w:rsidRDefault="00920228" w:rsidP="0050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228" w:rsidRDefault="00920228" w:rsidP="005056B3">
      <w:pPr>
        <w:spacing w:after="0" w:line="240" w:lineRule="auto"/>
      </w:pPr>
      <w:r>
        <w:separator/>
      </w:r>
    </w:p>
  </w:footnote>
  <w:footnote w:type="continuationSeparator" w:id="0">
    <w:p w:rsidR="00920228" w:rsidRDefault="00920228" w:rsidP="00505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C4CA9"/>
    <w:multiLevelType w:val="hybridMultilevel"/>
    <w:tmpl w:val="690A287C"/>
    <w:lvl w:ilvl="0" w:tplc="733C2D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00C9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6463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7296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1E22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54F0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F290B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8E58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DA6D1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B262E6"/>
    <w:multiLevelType w:val="hybridMultilevel"/>
    <w:tmpl w:val="AD7CFDDE"/>
    <w:lvl w:ilvl="0" w:tplc="E2F2DA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8CAD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B2DC3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DAE8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B841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24AA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6647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82E5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7203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5970C5"/>
    <w:multiLevelType w:val="hybridMultilevel"/>
    <w:tmpl w:val="031A46FA"/>
    <w:lvl w:ilvl="0" w:tplc="70168F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641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7254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ACCA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F4F9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E88F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F4EB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CEDE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243B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E4"/>
    <w:rsid w:val="005056B3"/>
    <w:rsid w:val="00920228"/>
    <w:rsid w:val="00B1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22C1"/>
  <w15:docId w15:val="{1638F47F-6CE8-4B60-9EBD-98FB6DFA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0" w:hanging="10"/>
    </w:pPr>
    <w:rPr>
      <w:rFonts w:ascii="Cambria" w:eastAsia="Cambria" w:hAnsi="Cambria" w:cs="Cambria"/>
      <w:color w:val="333333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0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56B3"/>
    <w:rPr>
      <w:rFonts w:ascii="Cambria" w:eastAsia="Cambria" w:hAnsi="Cambria" w:cs="Cambria"/>
      <w:color w:val="333333"/>
      <w:sz w:val="30"/>
    </w:rPr>
  </w:style>
  <w:style w:type="paragraph" w:styleId="a5">
    <w:name w:val="footer"/>
    <w:basedOn w:val="a"/>
    <w:link w:val="a6"/>
    <w:uiPriority w:val="99"/>
    <w:unhideWhenUsed/>
    <w:rsid w:val="0050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56B3"/>
    <w:rPr>
      <w:rFonts w:ascii="Cambria" w:eastAsia="Cambria" w:hAnsi="Cambria" w:cs="Cambria"/>
      <w:color w:val="333333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Тимур</cp:lastModifiedBy>
  <cp:revision>2</cp:revision>
  <dcterms:created xsi:type="dcterms:W3CDTF">2023-05-15T19:53:00Z</dcterms:created>
  <dcterms:modified xsi:type="dcterms:W3CDTF">2023-05-15T19:53:00Z</dcterms:modified>
</cp:coreProperties>
</file>